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C0EE2" w14:textId="77777777" w:rsidR="007C22C6" w:rsidRPr="00845C41" w:rsidRDefault="007C22C6" w:rsidP="007C22C6">
      <w:pPr>
        <w:rPr>
          <w:rFonts w:ascii="ＭＳ 明朝" w:hAnsi="ＭＳ 明朝"/>
          <w:sz w:val="24"/>
        </w:rPr>
      </w:pPr>
      <w:r w:rsidRPr="00845C41">
        <w:rPr>
          <w:rFonts w:ascii="ＭＳ 明朝" w:hAnsi="ＭＳ 明朝" w:hint="eastAsia"/>
          <w:sz w:val="24"/>
        </w:rPr>
        <w:t>（総則）</w:t>
      </w:r>
    </w:p>
    <w:p w14:paraId="7643BBA8"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第１条　発注者及び受注者は、この契約書（頭書を含む。以下同じ。）に基づき、仕様書等（別冊の仕様書、図面、現場説明書及び現場説明に対する質問回答書をいう。以下同じ。）に従い、日本国の法令を遵守し、この契約（この契約書及び仕様書等を内容とする物品の売買契約をいう。以下同じ。）を履行しなければならない。</w:t>
      </w:r>
    </w:p>
    <w:p w14:paraId="1F8307C8"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２　受注者は、別記の品目数量を頭書の売買金額をもって頭書の時期までに、頭書の場所において発注者に引渡しをしなければならない。</w:t>
      </w:r>
    </w:p>
    <w:p w14:paraId="00CE3EEE" w14:textId="77777777" w:rsidR="007C22C6" w:rsidRPr="00845C41" w:rsidRDefault="007C22C6" w:rsidP="007C22C6">
      <w:pPr>
        <w:rPr>
          <w:rFonts w:ascii="ＭＳ 明朝" w:hAnsi="ＭＳ 明朝"/>
          <w:sz w:val="24"/>
        </w:rPr>
      </w:pPr>
      <w:r w:rsidRPr="00845C41">
        <w:rPr>
          <w:rFonts w:ascii="ＭＳ 明朝" w:hAnsi="ＭＳ 明朝" w:hint="eastAsia"/>
          <w:sz w:val="24"/>
        </w:rPr>
        <w:t>（権利義務の譲渡等）</w:t>
      </w:r>
    </w:p>
    <w:p w14:paraId="0350D794"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第２条　この契約により生ずる権利又は義務は、これを第三者に譲渡してはならない。</w:t>
      </w:r>
    </w:p>
    <w:p w14:paraId="4F6AF533" w14:textId="77777777" w:rsidR="007C22C6" w:rsidRPr="00845C41" w:rsidRDefault="007C22C6" w:rsidP="007C22C6">
      <w:pPr>
        <w:rPr>
          <w:rFonts w:ascii="ＭＳ 明朝" w:hAnsi="ＭＳ 明朝"/>
          <w:sz w:val="24"/>
        </w:rPr>
      </w:pPr>
      <w:r w:rsidRPr="00845C41">
        <w:rPr>
          <w:rFonts w:ascii="ＭＳ 明朝" w:hAnsi="ＭＳ 明朝" w:hint="eastAsia"/>
          <w:sz w:val="24"/>
        </w:rPr>
        <w:t>（債務の委任）</w:t>
      </w:r>
    </w:p>
    <w:p w14:paraId="554D7FDA"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第３条　受注者は、発注者に対する債務の全部を一括して第三者に委任してはならない。</w:t>
      </w:r>
    </w:p>
    <w:p w14:paraId="192EA304" w14:textId="77777777" w:rsidR="007C22C6" w:rsidRPr="00845C41" w:rsidRDefault="007C22C6" w:rsidP="007C22C6">
      <w:pPr>
        <w:rPr>
          <w:rFonts w:ascii="ＭＳ 明朝" w:hAnsi="ＭＳ 明朝"/>
          <w:sz w:val="24"/>
        </w:rPr>
      </w:pPr>
      <w:r w:rsidRPr="00845C41">
        <w:rPr>
          <w:rFonts w:ascii="ＭＳ 明朝" w:hAnsi="ＭＳ 明朝" w:hint="eastAsia"/>
          <w:sz w:val="24"/>
        </w:rPr>
        <w:t>（契約内容の変更）</w:t>
      </w:r>
    </w:p>
    <w:p w14:paraId="2D309B9C" w14:textId="77777777" w:rsidR="007C22C6" w:rsidRPr="00845C41" w:rsidRDefault="007C22C6" w:rsidP="009369C1">
      <w:pPr>
        <w:ind w:left="240" w:hangingChars="100" w:hanging="240"/>
        <w:rPr>
          <w:rFonts w:ascii="ＭＳ 明朝" w:hAnsi="ＭＳ 明朝"/>
          <w:sz w:val="24"/>
        </w:rPr>
      </w:pPr>
      <w:r w:rsidRPr="00845C41">
        <w:rPr>
          <w:rFonts w:ascii="ＭＳ 明朝" w:hAnsi="ＭＳ 明朝" w:hint="eastAsia"/>
          <w:sz w:val="24"/>
        </w:rPr>
        <w:t>第４条　この契約の内容を変更するときは、発注者と受注者</w:t>
      </w:r>
      <w:r w:rsidR="003C3D45" w:rsidRPr="00845C41">
        <w:rPr>
          <w:rFonts w:ascii="ＭＳ 明朝" w:hAnsi="ＭＳ 明朝" w:hint="eastAsia"/>
          <w:sz w:val="24"/>
        </w:rPr>
        <w:t>が</w:t>
      </w:r>
      <w:r w:rsidRPr="00845C41">
        <w:rPr>
          <w:rFonts w:ascii="ＭＳ 明朝" w:hAnsi="ＭＳ 明朝" w:hint="eastAsia"/>
          <w:sz w:val="24"/>
        </w:rPr>
        <w:t>協議して書面によりこれを定めるものとする。</w:t>
      </w:r>
    </w:p>
    <w:p w14:paraId="3CCE6A44" w14:textId="77777777" w:rsidR="007C22C6" w:rsidRPr="00845C41" w:rsidRDefault="007C22C6" w:rsidP="007C22C6">
      <w:pPr>
        <w:rPr>
          <w:rFonts w:ascii="ＭＳ 明朝" w:hAnsi="ＭＳ 明朝"/>
          <w:sz w:val="24"/>
        </w:rPr>
      </w:pPr>
      <w:r w:rsidRPr="00845C41">
        <w:rPr>
          <w:rFonts w:ascii="ＭＳ 明朝" w:hAnsi="ＭＳ 明朝" w:hint="eastAsia"/>
          <w:sz w:val="24"/>
        </w:rPr>
        <w:t>（天災その他不可抗力による契約期間の延長）</w:t>
      </w:r>
    </w:p>
    <w:p w14:paraId="55CF8E31"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第５条　受注者は、天災等その責めに帰することができない事由により頭書の期限までに債務を履行することができないときは、発注者に引受けの時期の延期を求めることができる。その延期日数は、発注者</w:t>
      </w:r>
      <w:r w:rsidR="003C3D45" w:rsidRPr="00845C41">
        <w:rPr>
          <w:rFonts w:ascii="ＭＳ 明朝" w:hAnsi="ＭＳ 明朝" w:hint="eastAsia"/>
          <w:sz w:val="24"/>
        </w:rPr>
        <w:t>と</w:t>
      </w:r>
      <w:r w:rsidRPr="00845C41">
        <w:rPr>
          <w:rFonts w:ascii="ＭＳ 明朝" w:hAnsi="ＭＳ 明朝" w:hint="eastAsia"/>
          <w:sz w:val="24"/>
        </w:rPr>
        <w:t>受注者</w:t>
      </w:r>
      <w:r w:rsidR="003C3D45" w:rsidRPr="00845C41">
        <w:rPr>
          <w:rFonts w:ascii="ＭＳ 明朝" w:hAnsi="ＭＳ 明朝" w:hint="eastAsia"/>
          <w:sz w:val="24"/>
        </w:rPr>
        <w:t>が</w:t>
      </w:r>
      <w:r w:rsidRPr="00845C41">
        <w:rPr>
          <w:rFonts w:ascii="ＭＳ 明朝" w:hAnsi="ＭＳ 明朝" w:hint="eastAsia"/>
          <w:sz w:val="24"/>
        </w:rPr>
        <w:t>協議してこれを定めるものとする。</w:t>
      </w:r>
    </w:p>
    <w:p w14:paraId="168EBF53" w14:textId="77777777" w:rsidR="007C22C6" w:rsidRPr="00845C41" w:rsidRDefault="007C22C6" w:rsidP="007C22C6">
      <w:pPr>
        <w:rPr>
          <w:rFonts w:ascii="ＭＳ 明朝" w:hAnsi="ＭＳ 明朝"/>
          <w:sz w:val="24"/>
        </w:rPr>
      </w:pPr>
      <w:r w:rsidRPr="00845C41">
        <w:rPr>
          <w:rFonts w:ascii="ＭＳ 明朝" w:hAnsi="ＭＳ 明朝" w:hint="eastAsia"/>
          <w:sz w:val="24"/>
        </w:rPr>
        <w:t>（納品書等の提出及び検査）</w:t>
      </w:r>
    </w:p>
    <w:p w14:paraId="7D4E9E9A"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第６条　受注者は、債務の履行を完了したときは、その旨を書面により発注者に通知しなければならない。</w:t>
      </w:r>
    </w:p>
    <w:p w14:paraId="4C2776C7"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２　発注者は、前項の通知を受けたときは、その日から10日以内に受注者立会の下に検査を行い、検査に合格したときは、その引渡しを受けるものとする。</w:t>
      </w:r>
    </w:p>
    <w:p w14:paraId="21047B73"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３　前項の検査に合格しないときは、受注者は、遅滞なく是正又は改善をして発注者の検査を受けなければならない。この場合における前項の期間は、発注者が受注者から是正又は改善を終了した旨の通知を受けた日から起算するものとする。</w:t>
      </w:r>
    </w:p>
    <w:p w14:paraId="4400A55F" w14:textId="77777777" w:rsidR="007C22C6" w:rsidRPr="00845C41" w:rsidRDefault="007C22C6" w:rsidP="007C22C6">
      <w:pPr>
        <w:rPr>
          <w:rFonts w:ascii="ＭＳ 明朝" w:hAnsi="ＭＳ 明朝"/>
          <w:sz w:val="24"/>
        </w:rPr>
      </w:pPr>
      <w:r w:rsidRPr="00845C41">
        <w:rPr>
          <w:rFonts w:ascii="ＭＳ 明朝" w:hAnsi="ＭＳ 明朝" w:hint="eastAsia"/>
          <w:sz w:val="24"/>
        </w:rPr>
        <w:t>（契約代金の支払）</w:t>
      </w:r>
    </w:p>
    <w:p w14:paraId="67D508FF"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第７条　受注者は、前条第2項の検査に合格したときは、適法な手続により売買代金を請求するものとする。</w:t>
      </w:r>
    </w:p>
    <w:p w14:paraId="72C71685"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lastRenderedPageBreak/>
        <w:t>２　発注者は、前項の請求があったときは、その日から30日以内に支払わなければならない。</w:t>
      </w:r>
    </w:p>
    <w:p w14:paraId="5AB7DE22" w14:textId="77777777" w:rsidR="007C22C6" w:rsidRPr="00845C41" w:rsidRDefault="007C22C6" w:rsidP="007C22C6">
      <w:pPr>
        <w:rPr>
          <w:rFonts w:ascii="ＭＳ 明朝" w:hAnsi="ＭＳ 明朝"/>
          <w:sz w:val="24"/>
        </w:rPr>
      </w:pPr>
      <w:r w:rsidRPr="00845C41">
        <w:rPr>
          <w:rFonts w:ascii="ＭＳ 明朝" w:hAnsi="ＭＳ 明朝" w:hint="eastAsia"/>
          <w:sz w:val="24"/>
        </w:rPr>
        <w:t>（瑕疵担保）</w:t>
      </w:r>
    </w:p>
    <w:p w14:paraId="5AD194E4"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第８条　発注者は、第6条第2</w:t>
      </w:r>
      <w:r w:rsidR="00A70B71">
        <w:rPr>
          <w:rFonts w:ascii="ＭＳ 明朝" w:hAnsi="ＭＳ 明朝" w:hint="eastAsia"/>
          <w:sz w:val="24"/>
        </w:rPr>
        <w:t>項の引渡しの日から1</w:t>
      </w:r>
      <w:r w:rsidRPr="00845C41">
        <w:rPr>
          <w:rFonts w:ascii="ＭＳ 明朝" w:hAnsi="ＭＳ 明朝" w:hint="eastAsia"/>
          <w:sz w:val="24"/>
        </w:rPr>
        <w:t>年間、受注者に対して目的物の</w:t>
      </w:r>
      <w:r w:rsidR="009369C1">
        <w:rPr>
          <w:rFonts w:ascii="ＭＳ 明朝" w:hAnsi="ＭＳ 明朝" w:hint="eastAsia"/>
          <w:sz w:val="24"/>
        </w:rPr>
        <w:t>瑕疵</w:t>
      </w:r>
      <w:r w:rsidRPr="00845C41">
        <w:rPr>
          <w:rFonts w:ascii="ＭＳ 明朝" w:hAnsi="ＭＳ 明朝" w:hint="eastAsia"/>
          <w:sz w:val="24"/>
        </w:rPr>
        <w:t>の修補又はその修補にかえ若しくは修補とともに損害の賠償を請求することができる。た</w:t>
      </w:r>
      <w:r w:rsidR="00A70B71">
        <w:rPr>
          <w:rFonts w:ascii="ＭＳ 明朝" w:hAnsi="ＭＳ 明朝" w:hint="eastAsia"/>
          <w:sz w:val="24"/>
        </w:rPr>
        <w:t>だし、その瑕疵が受注者の故意又は重大な過失により生じた場合には3</w:t>
      </w:r>
      <w:r w:rsidRPr="00845C41">
        <w:rPr>
          <w:rFonts w:ascii="ＭＳ 明朝" w:hAnsi="ＭＳ 明朝" w:hint="eastAsia"/>
          <w:sz w:val="24"/>
        </w:rPr>
        <w:t>年間とする</w:t>
      </w:r>
    </w:p>
    <w:p w14:paraId="3549E72A" w14:textId="77777777" w:rsidR="007C22C6" w:rsidRPr="00845C41" w:rsidRDefault="007C22C6" w:rsidP="007C22C6">
      <w:pPr>
        <w:rPr>
          <w:rFonts w:ascii="ＭＳ 明朝" w:hAnsi="ＭＳ 明朝"/>
          <w:sz w:val="24"/>
        </w:rPr>
      </w:pPr>
      <w:r w:rsidRPr="00845C41">
        <w:rPr>
          <w:rFonts w:ascii="ＭＳ 明朝" w:hAnsi="ＭＳ 明朝" w:hint="eastAsia"/>
          <w:sz w:val="24"/>
        </w:rPr>
        <w:t>（遅延違約金）</w:t>
      </w:r>
    </w:p>
    <w:p w14:paraId="6F360528"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第９条　受注者の責めに帰する事由により引渡しの時期までに債務の履行を完了することができない場合において、期限後に履行する見込みがあるときは、発注者は受注者から遅延利息を徴収して引渡しの時期を延期することができる。</w:t>
      </w:r>
    </w:p>
    <w:p w14:paraId="0670B3A4"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２　前項の遅延利息の額は、売買金額から履行完了部分(検査に合格することを条件とする履行完了部分に限る。</w:t>
      </w:r>
      <w:proofErr w:type="gramStart"/>
      <w:r w:rsidRPr="00845C41">
        <w:rPr>
          <w:rFonts w:ascii="ＭＳ 明朝" w:hAnsi="ＭＳ 明朝" w:hint="eastAsia"/>
          <w:sz w:val="24"/>
        </w:rPr>
        <w:t>)に</w:t>
      </w:r>
      <w:proofErr w:type="gramEnd"/>
      <w:r w:rsidRPr="00845C41">
        <w:rPr>
          <w:rFonts w:ascii="ＭＳ 明朝" w:hAnsi="ＭＳ 明朝" w:hint="eastAsia"/>
          <w:sz w:val="24"/>
        </w:rPr>
        <w:t>対する売買代金相当額を控除した額につき、年利</w:t>
      </w:r>
      <w:r w:rsidR="00693C03">
        <w:rPr>
          <w:rFonts w:ascii="ＭＳ 明朝" w:hAnsi="ＭＳ 明朝" w:hint="eastAsia"/>
          <w:sz w:val="24"/>
        </w:rPr>
        <w:t>●</w:t>
      </w:r>
      <w:r w:rsidRPr="00845C41">
        <w:rPr>
          <w:rFonts w:ascii="ＭＳ 明朝" w:hAnsi="ＭＳ 明朝" w:hint="eastAsia"/>
          <w:sz w:val="24"/>
        </w:rPr>
        <w:t>％の割合で計算した額とする。</w:t>
      </w:r>
    </w:p>
    <w:p w14:paraId="2CA84178" w14:textId="77777777" w:rsidR="007C22C6" w:rsidRPr="00845C41" w:rsidRDefault="007C22C6" w:rsidP="007C22C6">
      <w:pPr>
        <w:ind w:left="240" w:hangingChars="100" w:hanging="240"/>
        <w:rPr>
          <w:rFonts w:ascii="ＭＳ 明朝" w:hAnsi="ＭＳ 明朝"/>
          <w:sz w:val="24"/>
        </w:rPr>
      </w:pPr>
      <w:r w:rsidRPr="00845C41">
        <w:rPr>
          <w:rFonts w:ascii="ＭＳ 明朝" w:hAnsi="ＭＳ 明朝" w:hint="eastAsia"/>
          <w:sz w:val="24"/>
        </w:rPr>
        <w:t>３　発注者の責めに帰する事由により第7条第2</w:t>
      </w:r>
      <w:r w:rsidR="00A70B71">
        <w:rPr>
          <w:rFonts w:ascii="ＭＳ 明朝" w:hAnsi="ＭＳ 明朝" w:hint="eastAsia"/>
          <w:sz w:val="24"/>
        </w:rPr>
        <w:t>項の売買代金の支払が遅れた場合には、受注者は、</w:t>
      </w:r>
      <w:r w:rsidR="00770A55" w:rsidRPr="00693C03">
        <w:rPr>
          <w:rFonts w:ascii="ＭＳ 明朝" w:hAnsi="ＭＳ 明朝" w:hint="eastAsia"/>
          <w:sz w:val="24"/>
        </w:rPr>
        <w:t>同条同項の支払期限の翌日時点における政府契約の支払遅延防止等に関する法律（昭和24年法律第256号）第8条第1項の規定に基づく遅延利息の率を乗じて計算した額の遅延利息の支払を発注者に対して請求することができる。</w:t>
      </w:r>
    </w:p>
    <w:p w14:paraId="4DE4567C"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４　発注者が、第6条第2項の期間内に履行完了の検査をしない場合は、その期間を経過した日から検査をした日までの日数は、第7条第2項の期間(以下「約定期間」という。</w:t>
      </w:r>
      <w:proofErr w:type="gramStart"/>
      <w:r w:rsidRPr="00845C41">
        <w:rPr>
          <w:rFonts w:ascii="ＭＳ 明朝" w:hAnsi="ＭＳ 明朝" w:hint="eastAsia"/>
          <w:sz w:val="24"/>
        </w:rPr>
        <w:t>)の</w:t>
      </w:r>
      <w:proofErr w:type="gramEnd"/>
      <w:r w:rsidRPr="00845C41">
        <w:rPr>
          <w:rFonts w:ascii="ＭＳ 明朝" w:hAnsi="ＭＳ 明朝" w:hint="eastAsia"/>
          <w:sz w:val="24"/>
        </w:rPr>
        <w:t>日数から差し引くものとし、また、その遅延日数が、約定期間の日数を超える場合は、約定期間は満了したものとみなし、発注者は、その超過日数に応じて前項の遅延利息を支払わなければならない。</w:t>
      </w:r>
    </w:p>
    <w:p w14:paraId="4BD6AE3C" w14:textId="77777777" w:rsidR="007C22C6" w:rsidRPr="00845C41" w:rsidRDefault="007C22C6" w:rsidP="007C22C6">
      <w:pPr>
        <w:rPr>
          <w:rFonts w:ascii="ＭＳ 明朝" w:hAnsi="ＭＳ 明朝"/>
          <w:sz w:val="24"/>
        </w:rPr>
      </w:pPr>
      <w:r w:rsidRPr="00845C41">
        <w:rPr>
          <w:rFonts w:ascii="ＭＳ 明朝" w:hAnsi="ＭＳ 明朝" w:hint="eastAsia"/>
          <w:sz w:val="24"/>
        </w:rPr>
        <w:t>（発注者の解除権）</w:t>
      </w:r>
    </w:p>
    <w:p w14:paraId="05E70FD0"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第10条</w:t>
      </w:r>
      <w:r w:rsidR="0021657F" w:rsidRPr="00845C41">
        <w:rPr>
          <w:rFonts w:ascii="ＭＳ 明朝" w:hAnsi="ＭＳ 明朝" w:hint="eastAsia"/>
          <w:sz w:val="24"/>
        </w:rPr>
        <w:t xml:space="preserve">　</w:t>
      </w:r>
      <w:r w:rsidRPr="00845C41">
        <w:rPr>
          <w:rFonts w:ascii="ＭＳ 明朝" w:hAnsi="ＭＳ 明朝" w:hint="eastAsia"/>
          <w:sz w:val="24"/>
        </w:rPr>
        <w:t>発注者は、受注者が次の各号のいずれかに該当するときは、契約を解除することができる。</w:t>
      </w:r>
    </w:p>
    <w:p w14:paraId="0C565424" w14:textId="77777777" w:rsidR="007C22C6" w:rsidRPr="00845C41" w:rsidRDefault="007C22C6" w:rsidP="009369C1">
      <w:pPr>
        <w:ind w:leftChars="100" w:left="450" w:hangingChars="100" w:hanging="240"/>
        <w:rPr>
          <w:rFonts w:ascii="ＭＳ 明朝" w:hAnsi="ＭＳ 明朝"/>
          <w:sz w:val="24"/>
        </w:rPr>
      </w:pPr>
      <w:r w:rsidRPr="00845C41">
        <w:rPr>
          <w:rFonts w:ascii="ＭＳ 明朝" w:hAnsi="ＭＳ 明朝" w:hint="eastAsia"/>
          <w:sz w:val="24"/>
        </w:rPr>
        <w:t>(1)</w:t>
      </w:r>
      <w:r w:rsidR="0021657F" w:rsidRPr="00845C41">
        <w:rPr>
          <w:rFonts w:ascii="ＭＳ 明朝" w:hAnsi="ＭＳ 明朝" w:hint="eastAsia"/>
          <w:sz w:val="24"/>
        </w:rPr>
        <w:t xml:space="preserve">　</w:t>
      </w:r>
      <w:r w:rsidRPr="00845C41">
        <w:rPr>
          <w:rFonts w:ascii="ＭＳ 明朝" w:hAnsi="ＭＳ 明朝" w:hint="eastAsia"/>
          <w:sz w:val="24"/>
        </w:rPr>
        <w:t>受注者の責めに帰する事由により期限内に債務を履行する見込みがないと認められるとき。</w:t>
      </w:r>
    </w:p>
    <w:p w14:paraId="66E697AE" w14:textId="77777777" w:rsidR="007C22C6" w:rsidRPr="00845C41" w:rsidRDefault="007C22C6" w:rsidP="009369C1">
      <w:pPr>
        <w:ind w:leftChars="100" w:left="450" w:hangingChars="100" w:hanging="240"/>
        <w:rPr>
          <w:rFonts w:ascii="ＭＳ 明朝" w:hAnsi="ＭＳ 明朝"/>
          <w:sz w:val="24"/>
        </w:rPr>
      </w:pPr>
      <w:r w:rsidRPr="00845C41">
        <w:rPr>
          <w:rFonts w:ascii="ＭＳ 明朝" w:hAnsi="ＭＳ 明朝" w:hint="eastAsia"/>
          <w:sz w:val="24"/>
        </w:rPr>
        <w:t>(2)</w:t>
      </w:r>
      <w:r w:rsidR="0021657F" w:rsidRPr="00845C41">
        <w:rPr>
          <w:rFonts w:ascii="ＭＳ 明朝" w:hAnsi="ＭＳ 明朝" w:hint="eastAsia"/>
          <w:sz w:val="24"/>
        </w:rPr>
        <w:t xml:space="preserve">　</w:t>
      </w:r>
      <w:r w:rsidRPr="00845C41">
        <w:rPr>
          <w:rFonts w:ascii="ＭＳ 明朝" w:hAnsi="ＭＳ 明朝" w:hint="eastAsia"/>
          <w:sz w:val="24"/>
        </w:rPr>
        <w:t>第2条の定めに違反したとき。</w:t>
      </w:r>
    </w:p>
    <w:p w14:paraId="3755EDAA" w14:textId="77777777" w:rsidR="007C22C6" w:rsidRPr="00845C41" w:rsidRDefault="007C22C6" w:rsidP="009369C1">
      <w:pPr>
        <w:ind w:leftChars="100" w:left="450" w:hangingChars="100" w:hanging="240"/>
        <w:rPr>
          <w:rFonts w:ascii="ＭＳ 明朝" w:hAnsi="ＭＳ 明朝"/>
          <w:sz w:val="24"/>
        </w:rPr>
      </w:pPr>
      <w:r w:rsidRPr="00845C41">
        <w:rPr>
          <w:rFonts w:ascii="ＭＳ 明朝" w:hAnsi="ＭＳ 明朝" w:hint="eastAsia"/>
          <w:sz w:val="24"/>
        </w:rPr>
        <w:t>(3)</w:t>
      </w:r>
      <w:r w:rsidR="0021657F" w:rsidRPr="00845C41">
        <w:rPr>
          <w:rFonts w:ascii="ＭＳ 明朝" w:hAnsi="ＭＳ 明朝" w:hint="eastAsia"/>
          <w:sz w:val="24"/>
        </w:rPr>
        <w:t xml:space="preserve">　</w:t>
      </w:r>
      <w:r w:rsidRPr="00845C41">
        <w:rPr>
          <w:rFonts w:ascii="ＭＳ 明朝" w:hAnsi="ＭＳ 明朝" w:hint="eastAsia"/>
          <w:sz w:val="24"/>
        </w:rPr>
        <w:t>前2号のほか、契約に違反したとき。</w:t>
      </w:r>
    </w:p>
    <w:p w14:paraId="768B6B78"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２</w:t>
      </w:r>
      <w:r w:rsidR="0021657F" w:rsidRPr="00845C41">
        <w:rPr>
          <w:rFonts w:ascii="ＭＳ 明朝" w:hAnsi="ＭＳ 明朝" w:hint="eastAsia"/>
          <w:sz w:val="24"/>
        </w:rPr>
        <w:t xml:space="preserve">　</w:t>
      </w:r>
      <w:r w:rsidRPr="00845C41">
        <w:rPr>
          <w:rFonts w:ascii="ＭＳ 明朝" w:hAnsi="ＭＳ 明朝" w:hint="eastAsia"/>
          <w:sz w:val="24"/>
        </w:rPr>
        <w:t>前項の定めにより契約を解除した場合において、債務の履行部分で検査に合格したものは発注者の所有とし、発注者は、その履行部分に対する売買代金</w:t>
      </w:r>
      <w:r w:rsidRPr="00845C41">
        <w:rPr>
          <w:rFonts w:ascii="ＭＳ 明朝" w:hAnsi="ＭＳ 明朝" w:hint="eastAsia"/>
          <w:sz w:val="24"/>
        </w:rPr>
        <w:lastRenderedPageBreak/>
        <w:t>相当額を支払うものとする。</w:t>
      </w:r>
    </w:p>
    <w:p w14:paraId="5DA6DD31"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３</w:t>
      </w:r>
      <w:r w:rsidR="0021657F" w:rsidRPr="00845C41">
        <w:rPr>
          <w:rFonts w:ascii="ＭＳ 明朝" w:hAnsi="ＭＳ 明朝" w:hint="eastAsia"/>
          <w:sz w:val="24"/>
        </w:rPr>
        <w:t xml:space="preserve">　</w:t>
      </w:r>
      <w:r w:rsidRPr="00845C41">
        <w:rPr>
          <w:rFonts w:ascii="ＭＳ 明朝" w:hAnsi="ＭＳ 明朝" w:hint="eastAsia"/>
          <w:sz w:val="24"/>
        </w:rPr>
        <w:t>前払金があるときは、前項の支払額と前払金額を差引清算するものとし、前払金額の残額があるときは、受注者は、その残額に利息を付して返還しなければならない。この場合における利息の額は、前払金の残額について前払金支払の日から返還の日まで年利5％の割合で計算した額とするものとする。</w:t>
      </w:r>
    </w:p>
    <w:p w14:paraId="658091B7" w14:textId="77777777" w:rsidR="007C22C6" w:rsidRPr="00845C41" w:rsidRDefault="007C22C6" w:rsidP="007C22C6">
      <w:pPr>
        <w:rPr>
          <w:rFonts w:ascii="ＭＳ 明朝" w:hAnsi="ＭＳ 明朝"/>
          <w:sz w:val="24"/>
        </w:rPr>
      </w:pPr>
      <w:r w:rsidRPr="00845C41">
        <w:rPr>
          <w:rFonts w:ascii="ＭＳ 明朝" w:hAnsi="ＭＳ 明朝" w:hint="eastAsia"/>
          <w:sz w:val="24"/>
        </w:rPr>
        <w:t>（契約の解除等と契約保証金の取扱い）</w:t>
      </w:r>
    </w:p>
    <w:p w14:paraId="10630F6C"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第11条</w:t>
      </w:r>
      <w:r w:rsidR="0021657F" w:rsidRPr="00845C41">
        <w:rPr>
          <w:rFonts w:ascii="ＭＳ 明朝" w:hAnsi="ＭＳ 明朝" w:hint="eastAsia"/>
          <w:sz w:val="24"/>
        </w:rPr>
        <w:t xml:space="preserve">　</w:t>
      </w:r>
      <w:r w:rsidRPr="00845C41">
        <w:rPr>
          <w:rFonts w:ascii="ＭＳ 明朝" w:hAnsi="ＭＳ 明朝" w:hint="eastAsia"/>
          <w:sz w:val="24"/>
        </w:rPr>
        <w:t>発注者は、第6条第2項の引渡しを受けたときは、直ちに</w:t>
      </w:r>
      <w:r w:rsidR="00A70B71">
        <w:rPr>
          <w:rFonts w:ascii="ＭＳ 明朝" w:hAnsi="ＭＳ 明朝" w:hint="eastAsia"/>
          <w:sz w:val="24"/>
        </w:rPr>
        <w:t>、受注者に頭書の契約保証金を還付しなければならない。ただし、瑕疵</w:t>
      </w:r>
      <w:r w:rsidRPr="00845C41">
        <w:rPr>
          <w:rFonts w:ascii="ＭＳ 明朝" w:hAnsi="ＭＳ 明朝" w:hint="eastAsia"/>
          <w:sz w:val="24"/>
        </w:rPr>
        <w:t>担保義務終了までその全部又は一部の還付を留保することができる。</w:t>
      </w:r>
    </w:p>
    <w:p w14:paraId="435351F7"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２</w:t>
      </w:r>
      <w:r w:rsidR="0021657F" w:rsidRPr="00845C41">
        <w:rPr>
          <w:rFonts w:ascii="ＭＳ 明朝" w:hAnsi="ＭＳ 明朝" w:hint="eastAsia"/>
          <w:sz w:val="24"/>
        </w:rPr>
        <w:t xml:space="preserve">　</w:t>
      </w:r>
      <w:r w:rsidRPr="00845C41">
        <w:rPr>
          <w:rFonts w:ascii="ＭＳ 明朝" w:hAnsi="ＭＳ 明朝" w:hint="eastAsia"/>
          <w:sz w:val="24"/>
        </w:rPr>
        <w:t>前条第1項により発注者が契約を解除したときは、頭書の契約保証金は、発注者に帰属するものとし、なお損害があるときは、発注者は、その損害の賠償を請求することができる。</w:t>
      </w:r>
    </w:p>
    <w:p w14:paraId="6E7C3F41" w14:textId="77777777" w:rsidR="007C22C6" w:rsidRPr="00845C41" w:rsidRDefault="007C22C6" w:rsidP="0021657F">
      <w:pPr>
        <w:ind w:left="240" w:hangingChars="100" w:hanging="240"/>
        <w:rPr>
          <w:rFonts w:ascii="ＭＳ 明朝" w:hAnsi="ＭＳ 明朝"/>
          <w:sz w:val="24"/>
        </w:rPr>
      </w:pPr>
      <w:r w:rsidRPr="00845C41">
        <w:rPr>
          <w:rFonts w:ascii="ＭＳ 明朝" w:hAnsi="ＭＳ 明朝" w:hint="eastAsia"/>
          <w:sz w:val="24"/>
        </w:rPr>
        <w:t>３</w:t>
      </w:r>
      <w:r w:rsidR="0021657F" w:rsidRPr="00845C41">
        <w:rPr>
          <w:rFonts w:ascii="ＭＳ 明朝" w:hAnsi="ＭＳ 明朝" w:hint="eastAsia"/>
          <w:sz w:val="24"/>
        </w:rPr>
        <w:t xml:space="preserve">　</w:t>
      </w:r>
      <w:r w:rsidR="00A70B71">
        <w:rPr>
          <w:rFonts w:ascii="ＭＳ 明朝" w:hAnsi="ＭＳ 明朝" w:hint="eastAsia"/>
          <w:sz w:val="24"/>
        </w:rPr>
        <w:t>前項の定めは、受注者が、瑕疵</w:t>
      </w:r>
      <w:r w:rsidRPr="00845C41">
        <w:rPr>
          <w:rFonts w:ascii="ＭＳ 明朝" w:hAnsi="ＭＳ 明朝" w:hint="eastAsia"/>
          <w:sz w:val="24"/>
        </w:rPr>
        <w:t>担保義務を履行しないとき又はその責めに帰する事由により契約が無効となった場合に準用する。</w:t>
      </w:r>
    </w:p>
    <w:p w14:paraId="2F93883E" w14:textId="77777777" w:rsidR="007C22C6" w:rsidRPr="00845C41" w:rsidRDefault="007C22C6" w:rsidP="007C22C6">
      <w:pPr>
        <w:rPr>
          <w:rFonts w:ascii="ＭＳ 明朝" w:hAnsi="ＭＳ 明朝"/>
          <w:sz w:val="24"/>
        </w:rPr>
      </w:pPr>
      <w:r w:rsidRPr="00845C41">
        <w:rPr>
          <w:rFonts w:ascii="ＭＳ 明朝" w:hAnsi="ＭＳ 明朝" w:hint="eastAsia"/>
          <w:sz w:val="24"/>
        </w:rPr>
        <w:t>（解除に伴う措置）</w:t>
      </w:r>
    </w:p>
    <w:p w14:paraId="49DE6E17" w14:textId="77777777" w:rsidR="007C22C6" w:rsidRPr="00845C41" w:rsidRDefault="007C22C6" w:rsidP="0021657F">
      <w:pPr>
        <w:ind w:left="180" w:hangingChars="75" w:hanging="180"/>
        <w:rPr>
          <w:rFonts w:ascii="ＭＳ 明朝" w:hAnsi="ＭＳ 明朝"/>
          <w:sz w:val="24"/>
        </w:rPr>
      </w:pPr>
      <w:r w:rsidRPr="00845C41">
        <w:rPr>
          <w:rFonts w:ascii="ＭＳ 明朝" w:hAnsi="ＭＳ 明朝" w:hint="eastAsia"/>
          <w:sz w:val="24"/>
        </w:rPr>
        <w:t>第12条</w:t>
      </w:r>
      <w:r w:rsidR="0021657F" w:rsidRPr="00845C41">
        <w:rPr>
          <w:rFonts w:ascii="ＭＳ 明朝" w:hAnsi="ＭＳ 明朝" w:hint="eastAsia"/>
          <w:sz w:val="24"/>
        </w:rPr>
        <w:t xml:space="preserve">　</w:t>
      </w:r>
      <w:r w:rsidRPr="00845C41">
        <w:rPr>
          <w:rFonts w:ascii="ＭＳ 明朝" w:hAnsi="ＭＳ 明朝" w:hint="eastAsia"/>
          <w:sz w:val="24"/>
        </w:rPr>
        <w:t>頭書の契約保証金を免除している場合において、第10条第1項の</w:t>
      </w:r>
      <w:r w:rsidR="00F63E66">
        <w:rPr>
          <w:rFonts w:ascii="ＭＳ 明朝" w:hAnsi="ＭＳ 明朝" w:hint="eastAsia"/>
          <w:sz w:val="24"/>
        </w:rPr>
        <w:t>規定</w:t>
      </w:r>
      <w:r w:rsidR="00AD5496">
        <w:rPr>
          <w:rFonts w:ascii="ＭＳ 明朝" w:hAnsi="ＭＳ 明朝" w:hint="eastAsia"/>
          <w:sz w:val="24"/>
        </w:rPr>
        <w:t>によ</w:t>
      </w:r>
      <w:r w:rsidRPr="00845C41">
        <w:rPr>
          <w:rFonts w:ascii="ＭＳ 明朝" w:hAnsi="ＭＳ 明朝" w:hint="eastAsia"/>
          <w:sz w:val="24"/>
        </w:rPr>
        <w:t>り発注者が契約を解除したときは、受注者は、頭書の売買金額から同条第2項に定める打切り精算額を差し引いた額の10</w:t>
      </w:r>
      <w:r w:rsidR="00A70B71">
        <w:rPr>
          <w:rFonts w:ascii="ＭＳ 明朝" w:hAnsi="ＭＳ 明朝" w:hint="eastAsia"/>
          <w:sz w:val="24"/>
        </w:rPr>
        <w:t>分の</w:t>
      </w:r>
      <w:r w:rsidR="00693C03">
        <w:rPr>
          <w:rFonts w:ascii="ＭＳ 明朝" w:hAnsi="ＭＳ 明朝" w:hint="eastAsia"/>
          <w:sz w:val="24"/>
        </w:rPr>
        <w:t>1</w:t>
      </w:r>
      <w:r w:rsidRPr="00845C41">
        <w:rPr>
          <w:rFonts w:ascii="ＭＳ 明朝" w:hAnsi="ＭＳ 明朝" w:hint="eastAsia"/>
          <w:sz w:val="24"/>
        </w:rPr>
        <w:t>を違約金として発注者の指定する期間内に納付しなければならない。受注者の責めに帰すべき事由により契約が無効となった場合においても同様とする。</w:t>
      </w:r>
    </w:p>
    <w:p w14:paraId="753251B4" w14:textId="77777777" w:rsidR="007C22C6" w:rsidRPr="00845C41" w:rsidRDefault="007C22C6" w:rsidP="007C22C6">
      <w:pPr>
        <w:rPr>
          <w:rFonts w:ascii="ＭＳ 明朝" w:hAnsi="ＭＳ 明朝"/>
          <w:sz w:val="24"/>
        </w:rPr>
      </w:pPr>
      <w:r w:rsidRPr="00845C41">
        <w:rPr>
          <w:rFonts w:ascii="ＭＳ 明朝" w:hAnsi="ＭＳ 明朝" w:hint="eastAsia"/>
          <w:sz w:val="24"/>
        </w:rPr>
        <w:t>（相殺）</w:t>
      </w:r>
    </w:p>
    <w:p w14:paraId="26754F11" w14:textId="77777777" w:rsidR="007C22C6" w:rsidRPr="00845C41" w:rsidRDefault="007C22C6" w:rsidP="00666A06">
      <w:pPr>
        <w:ind w:left="240" w:hangingChars="100" w:hanging="240"/>
        <w:rPr>
          <w:rFonts w:ascii="ＭＳ 明朝" w:hAnsi="ＭＳ 明朝"/>
          <w:sz w:val="24"/>
        </w:rPr>
      </w:pPr>
      <w:r w:rsidRPr="00845C41">
        <w:rPr>
          <w:rFonts w:ascii="ＭＳ 明朝" w:hAnsi="ＭＳ 明朝" w:hint="eastAsia"/>
          <w:sz w:val="24"/>
        </w:rPr>
        <w:t>第13条</w:t>
      </w:r>
      <w:r w:rsidR="00666A06" w:rsidRPr="00845C41">
        <w:rPr>
          <w:rFonts w:ascii="ＭＳ 明朝" w:hAnsi="ＭＳ 明朝" w:hint="eastAsia"/>
          <w:sz w:val="24"/>
        </w:rPr>
        <w:t xml:space="preserve">　</w:t>
      </w:r>
      <w:r w:rsidRPr="00845C41">
        <w:rPr>
          <w:rFonts w:ascii="ＭＳ 明朝" w:hAnsi="ＭＳ 明朝" w:hint="eastAsia"/>
          <w:sz w:val="24"/>
        </w:rPr>
        <w:t>この契約に基づく違約金等受注者の債務については、発注者は、売買代金と相殺できるものとし、なお不足を生ずるときは追徴するものとする。</w:t>
      </w:r>
    </w:p>
    <w:p w14:paraId="7D670F92" w14:textId="77777777" w:rsidR="007C22C6" w:rsidRPr="00845C41" w:rsidRDefault="007C22C6" w:rsidP="007C22C6">
      <w:pPr>
        <w:rPr>
          <w:rFonts w:ascii="ＭＳ 明朝" w:hAnsi="ＭＳ 明朝"/>
          <w:sz w:val="24"/>
        </w:rPr>
      </w:pPr>
      <w:r w:rsidRPr="00845C41">
        <w:rPr>
          <w:rFonts w:ascii="ＭＳ 明朝" w:hAnsi="ＭＳ 明朝" w:hint="eastAsia"/>
          <w:sz w:val="24"/>
        </w:rPr>
        <w:t>（疑義の決定等）</w:t>
      </w:r>
    </w:p>
    <w:p w14:paraId="75CD506B" w14:textId="77777777" w:rsidR="007C22C6" w:rsidRPr="00845C41" w:rsidRDefault="007C22C6" w:rsidP="00666A06">
      <w:pPr>
        <w:ind w:left="240" w:hangingChars="100" w:hanging="240"/>
        <w:rPr>
          <w:rFonts w:ascii="ＭＳ 明朝" w:hAnsi="ＭＳ 明朝"/>
          <w:sz w:val="24"/>
        </w:rPr>
      </w:pPr>
      <w:r w:rsidRPr="00845C41">
        <w:rPr>
          <w:rFonts w:ascii="ＭＳ 明朝" w:hAnsi="ＭＳ 明朝" w:hint="eastAsia"/>
          <w:sz w:val="24"/>
        </w:rPr>
        <w:t>第14条</w:t>
      </w:r>
      <w:r w:rsidR="00666A06" w:rsidRPr="00845C41">
        <w:rPr>
          <w:rFonts w:ascii="ＭＳ 明朝" w:hAnsi="ＭＳ 明朝" w:hint="eastAsia"/>
          <w:sz w:val="24"/>
        </w:rPr>
        <w:t xml:space="preserve">　</w:t>
      </w:r>
      <w:r w:rsidRPr="00845C41">
        <w:rPr>
          <w:rFonts w:ascii="ＭＳ 明朝" w:hAnsi="ＭＳ 明朝" w:hint="eastAsia"/>
          <w:sz w:val="24"/>
        </w:rPr>
        <w:t>この契約書に定めのない事項については、必要に応じて発注者</w:t>
      </w:r>
      <w:r w:rsidR="003C3D45" w:rsidRPr="00845C41">
        <w:rPr>
          <w:rFonts w:ascii="ＭＳ 明朝" w:hAnsi="ＭＳ 明朝" w:hint="eastAsia"/>
          <w:sz w:val="24"/>
        </w:rPr>
        <w:t>と</w:t>
      </w:r>
      <w:r w:rsidRPr="00845C41">
        <w:rPr>
          <w:rFonts w:ascii="ＭＳ 明朝" w:hAnsi="ＭＳ 明朝" w:hint="eastAsia"/>
          <w:sz w:val="24"/>
        </w:rPr>
        <w:t>受注者</w:t>
      </w:r>
      <w:r w:rsidR="003C3D45" w:rsidRPr="00845C41">
        <w:rPr>
          <w:rFonts w:ascii="ＭＳ 明朝" w:hAnsi="ＭＳ 明朝" w:hint="eastAsia"/>
          <w:sz w:val="24"/>
        </w:rPr>
        <w:t>が</w:t>
      </w:r>
      <w:r w:rsidRPr="00845C41">
        <w:rPr>
          <w:rFonts w:ascii="ＭＳ 明朝" w:hAnsi="ＭＳ 明朝" w:hint="eastAsia"/>
          <w:sz w:val="24"/>
        </w:rPr>
        <w:t>協議して定めるものとする。</w:t>
      </w:r>
    </w:p>
    <w:p w14:paraId="609306CA" w14:textId="77777777" w:rsidR="007C22C6" w:rsidRPr="00845C41" w:rsidRDefault="0068124A" w:rsidP="007C22C6">
      <w:r>
        <w:br w:type="page"/>
      </w:r>
      <w:r w:rsidR="007C22C6" w:rsidRPr="00845C41">
        <w:rPr>
          <w:rFonts w:hint="eastAsia"/>
        </w:rPr>
        <w:lastRenderedPageBreak/>
        <w:t>別記</w:t>
      </w:r>
    </w:p>
    <w:p w14:paraId="03785F35" w14:textId="77777777" w:rsidR="0068124A" w:rsidRPr="0068124A" w:rsidRDefault="00770A55" w:rsidP="0068124A">
      <w:pPr>
        <w:pStyle w:val="a7"/>
      </w:pPr>
      <w:bookmarkStart w:id="0" w:name="_GoBack"/>
      <w:bookmarkEnd w:id="0"/>
      <w:r w:rsidRPr="00845C41">
        <w:rPr>
          <w:rFonts w:hint="eastAsia"/>
          <w:noProof/>
        </w:rPr>
        <mc:AlternateContent>
          <mc:Choice Requires="wps">
            <w:drawing>
              <wp:anchor distT="0" distB="0" distL="114300" distR="114300" simplePos="0" relativeHeight="251657728" behindDoc="1" locked="0" layoutInCell="1" allowOverlap="1" wp14:anchorId="3BE93657" wp14:editId="7CD68962">
                <wp:simplePos x="0" y="0"/>
                <wp:positionH relativeFrom="page">
                  <wp:posOffset>965835</wp:posOffset>
                </wp:positionH>
                <wp:positionV relativeFrom="paragraph">
                  <wp:posOffset>0</wp:posOffset>
                </wp:positionV>
                <wp:extent cx="5430520" cy="1254125"/>
                <wp:effectExtent l="381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52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22"/>
                              <w:gridCol w:w="2423"/>
                              <w:gridCol w:w="1260"/>
                              <w:gridCol w:w="3060"/>
                            </w:tblGrid>
                            <w:tr w:rsidR="0068124A" w14:paraId="05BB6CA7" w14:textId="77777777" w:rsidTr="0068124A">
                              <w:trPr>
                                <w:trHeight w:hRule="exact" w:val="797"/>
                              </w:trPr>
                              <w:tc>
                                <w:tcPr>
                                  <w:tcW w:w="1722" w:type="dxa"/>
                                  <w:tcBorders>
                                    <w:top w:val="single" w:sz="4" w:space="0" w:color="000000"/>
                                    <w:left w:val="single" w:sz="4" w:space="0" w:color="000000"/>
                                    <w:bottom w:val="single" w:sz="4" w:space="0" w:color="000000"/>
                                    <w:right w:val="single" w:sz="4" w:space="0" w:color="000000"/>
                                  </w:tcBorders>
                                  <w:vAlign w:val="center"/>
                                </w:tcPr>
                                <w:p w14:paraId="6F020A75" w14:textId="77777777" w:rsidR="0068124A" w:rsidRPr="00F82A9B" w:rsidRDefault="0068124A" w:rsidP="007C22C6">
                                  <w:pPr>
                                    <w:tabs>
                                      <w:tab w:val="left" w:pos="1380"/>
                                    </w:tabs>
                                    <w:spacing w:before="9"/>
                                    <w:ind w:right="-20"/>
                                    <w:jc w:val="center"/>
                                    <w:rPr>
                                      <w:rFonts w:ascii="ＭＳ 明朝" w:hAnsi="ＭＳ 明朝" w:cs="メイリオ"/>
                                      <w:szCs w:val="21"/>
                                    </w:rPr>
                                  </w:pPr>
                                  <w:r w:rsidRPr="00F82A9B">
                                    <w:rPr>
                                      <w:rFonts w:ascii="ＭＳ 明朝" w:hAnsi="ＭＳ 明朝" w:cs="メイリオ"/>
                                      <w:szCs w:val="21"/>
                                    </w:rPr>
                                    <w:t>品</w:t>
                                  </w:r>
                                  <w:r w:rsidRPr="00F82A9B">
                                    <w:rPr>
                                      <w:rFonts w:ascii="ＭＳ 明朝" w:hAnsi="ＭＳ 明朝" w:cs="メイリオ" w:hint="eastAsia"/>
                                      <w:szCs w:val="21"/>
                                    </w:rPr>
                                    <w:t xml:space="preserve">　</w:t>
                                  </w:r>
                                  <w:r w:rsidRPr="00F82A9B">
                                    <w:rPr>
                                      <w:rFonts w:ascii="ＭＳ 明朝" w:hAnsi="ＭＳ 明朝" w:cs="メイリオ"/>
                                      <w:szCs w:val="21"/>
                                    </w:rPr>
                                    <w:t>目</w:t>
                                  </w:r>
                                </w:p>
                              </w:tc>
                              <w:tc>
                                <w:tcPr>
                                  <w:tcW w:w="2423" w:type="dxa"/>
                                  <w:tcBorders>
                                    <w:top w:val="single" w:sz="4" w:space="0" w:color="000000"/>
                                    <w:left w:val="single" w:sz="4" w:space="0" w:color="000000"/>
                                    <w:bottom w:val="single" w:sz="4" w:space="0" w:color="000000"/>
                                    <w:right w:val="single" w:sz="4" w:space="0" w:color="000000"/>
                                  </w:tcBorders>
                                  <w:vAlign w:val="center"/>
                                </w:tcPr>
                                <w:p w14:paraId="3C580ACA" w14:textId="77777777" w:rsidR="0068124A" w:rsidRPr="00F82A9B" w:rsidRDefault="0068124A" w:rsidP="007C22C6">
                                  <w:pPr>
                                    <w:spacing w:before="9"/>
                                    <w:ind w:right="-20"/>
                                    <w:jc w:val="center"/>
                                    <w:rPr>
                                      <w:rFonts w:ascii="ＭＳ 明朝" w:hAnsi="ＭＳ 明朝" w:cs="メイリオ"/>
                                      <w:szCs w:val="21"/>
                                    </w:rPr>
                                  </w:pPr>
                                  <w:r w:rsidRPr="00F82A9B">
                                    <w:rPr>
                                      <w:rFonts w:ascii="ＭＳ 明朝" w:hAnsi="ＭＳ 明朝" w:cs="メイリオ"/>
                                      <w:szCs w:val="21"/>
                                    </w:rPr>
                                    <w:t>規格・仕様</w:t>
                                  </w:r>
                                </w:p>
                              </w:tc>
                              <w:tc>
                                <w:tcPr>
                                  <w:tcW w:w="1260" w:type="dxa"/>
                                  <w:tcBorders>
                                    <w:top w:val="single" w:sz="4" w:space="0" w:color="000000"/>
                                    <w:left w:val="single" w:sz="4" w:space="0" w:color="000000"/>
                                    <w:bottom w:val="single" w:sz="4" w:space="0" w:color="000000"/>
                                    <w:right w:val="single" w:sz="4" w:space="0" w:color="000000"/>
                                  </w:tcBorders>
                                  <w:vAlign w:val="center"/>
                                </w:tcPr>
                                <w:p w14:paraId="18A2AA99" w14:textId="77777777" w:rsidR="0068124A" w:rsidRPr="00F82A9B" w:rsidRDefault="0068124A" w:rsidP="0068124A">
                                  <w:pPr>
                                    <w:spacing w:before="9"/>
                                    <w:ind w:right="-20"/>
                                    <w:jc w:val="center"/>
                                    <w:rPr>
                                      <w:rFonts w:ascii="ＭＳ 明朝" w:hAnsi="ＭＳ 明朝" w:cs="メイリオ"/>
                                      <w:szCs w:val="21"/>
                                    </w:rPr>
                                  </w:pPr>
                                  <w:r w:rsidRPr="00F82A9B">
                                    <w:rPr>
                                      <w:rFonts w:ascii="ＭＳ 明朝" w:hAnsi="ＭＳ 明朝" w:cs="メイリオ"/>
                                      <w:szCs w:val="21"/>
                                    </w:rPr>
                                    <w:t>数量</w:t>
                                  </w:r>
                                </w:p>
                              </w:tc>
                              <w:tc>
                                <w:tcPr>
                                  <w:tcW w:w="3060" w:type="dxa"/>
                                  <w:tcBorders>
                                    <w:top w:val="single" w:sz="4" w:space="0" w:color="000000"/>
                                    <w:left w:val="single" w:sz="4" w:space="0" w:color="000000"/>
                                    <w:bottom w:val="single" w:sz="4" w:space="0" w:color="000000"/>
                                    <w:right w:val="single" w:sz="4" w:space="0" w:color="000000"/>
                                  </w:tcBorders>
                                  <w:vAlign w:val="center"/>
                                </w:tcPr>
                                <w:p w14:paraId="33776070" w14:textId="77777777" w:rsidR="0068124A" w:rsidRPr="00F82A9B" w:rsidRDefault="0068124A" w:rsidP="007C22C6">
                                  <w:pPr>
                                    <w:tabs>
                                      <w:tab w:val="left" w:pos="1240"/>
                                    </w:tabs>
                                    <w:spacing w:before="9"/>
                                    <w:ind w:right="-20"/>
                                    <w:jc w:val="center"/>
                                    <w:rPr>
                                      <w:rFonts w:ascii="ＭＳ 明朝" w:hAnsi="ＭＳ 明朝" w:cs="メイリオ"/>
                                      <w:szCs w:val="21"/>
                                    </w:rPr>
                                  </w:pPr>
                                  <w:r w:rsidRPr="00F82A9B">
                                    <w:rPr>
                                      <w:rFonts w:ascii="ＭＳ 明朝" w:hAnsi="ＭＳ 明朝" w:cs="メイリオ"/>
                                      <w:szCs w:val="21"/>
                                    </w:rPr>
                                    <w:t>摘</w:t>
                                  </w:r>
                                  <w:r w:rsidRPr="00F82A9B">
                                    <w:rPr>
                                      <w:rFonts w:ascii="ＭＳ 明朝" w:hAnsi="ＭＳ 明朝" w:cs="メイリオ" w:hint="eastAsia"/>
                                      <w:szCs w:val="21"/>
                                    </w:rPr>
                                    <w:t xml:space="preserve">　　</w:t>
                                  </w:r>
                                  <w:r w:rsidRPr="00F82A9B">
                                    <w:rPr>
                                      <w:rFonts w:ascii="ＭＳ 明朝" w:hAnsi="ＭＳ 明朝" w:cs="メイリオ"/>
                                      <w:szCs w:val="21"/>
                                    </w:rPr>
                                    <w:t>要</w:t>
                                  </w:r>
                                </w:p>
                              </w:tc>
                            </w:tr>
                            <w:tr w:rsidR="0068124A" w14:paraId="4D5EE99D" w14:textId="77777777" w:rsidTr="0068124A">
                              <w:trPr>
                                <w:trHeight w:hRule="exact" w:val="983"/>
                              </w:trPr>
                              <w:tc>
                                <w:tcPr>
                                  <w:tcW w:w="1722" w:type="dxa"/>
                                  <w:tcBorders>
                                    <w:top w:val="single" w:sz="4" w:space="0" w:color="000000"/>
                                    <w:left w:val="single" w:sz="4" w:space="0" w:color="000000"/>
                                    <w:bottom w:val="single" w:sz="4" w:space="0" w:color="000000"/>
                                    <w:right w:val="single" w:sz="4" w:space="0" w:color="000000"/>
                                  </w:tcBorders>
                                </w:tcPr>
                                <w:p w14:paraId="0243EC7B" w14:textId="77777777" w:rsidR="0068124A" w:rsidRPr="0068124A" w:rsidRDefault="0068124A" w:rsidP="0068124A">
                                  <w:pPr>
                                    <w:pStyle w:val="a7"/>
                                    <w:spacing w:line="160" w:lineRule="atLeast"/>
                                  </w:pPr>
                                </w:p>
                              </w:tc>
                              <w:tc>
                                <w:tcPr>
                                  <w:tcW w:w="2423" w:type="dxa"/>
                                  <w:tcBorders>
                                    <w:top w:val="single" w:sz="4" w:space="0" w:color="000000"/>
                                    <w:left w:val="single" w:sz="4" w:space="0" w:color="000000"/>
                                    <w:bottom w:val="single" w:sz="4" w:space="0" w:color="000000"/>
                                    <w:right w:val="single" w:sz="4" w:space="0" w:color="000000"/>
                                  </w:tcBorders>
                                </w:tcPr>
                                <w:p w14:paraId="02D3EBCD" w14:textId="77777777" w:rsidR="0068124A" w:rsidRPr="0068124A" w:rsidRDefault="0068124A" w:rsidP="0068124A">
                                  <w:pPr>
                                    <w:pStyle w:val="a7"/>
                                    <w:spacing w:line="160" w:lineRule="atLeast"/>
                                  </w:pPr>
                                </w:p>
                              </w:tc>
                              <w:tc>
                                <w:tcPr>
                                  <w:tcW w:w="1260" w:type="dxa"/>
                                  <w:tcBorders>
                                    <w:top w:val="single" w:sz="4" w:space="0" w:color="000000"/>
                                    <w:left w:val="single" w:sz="4" w:space="0" w:color="000000"/>
                                    <w:bottom w:val="single" w:sz="4" w:space="0" w:color="000000"/>
                                    <w:right w:val="single" w:sz="4" w:space="0" w:color="000000"/>
                                  </w:tcBorders>
                                </w:tcPr>
                                <w:p w14:paraId="1709C509" w14:textId="77777777" w:rsidR="0068124A" w:rsidRPr="0068124A" w:rsidRDefault="0068124A" w:rsidP="0068124A">
                                  <w:pPr>
                                    <w:pStyle w:val="a7"/>
                                    <w:spacing w:line="160" w:lineRule="atLeast"/>
                                  </w:pPr>
                                </w:p>
                              </w:tc>
                              <w:tc>
                                <w:tcPr>
                                  <w:tcW w:w="3060" w:type="dxa"/>
                                  <w:tcBorders>
                                    <w:top w:val="single" w:sz="4" w:space="0" w:color="000000"/>
                                    <w:left w:val="single" w:sz="4" w:space="0" w:color="000000"/>
                                    <w:bottom w:val="single" w:sz="4" w:space="0" w:color="000000"/>
                                    <w:right w:val="single" w:sz="4" w:space="0" w:color="000000"/>
                                  </w:tcBorders>
                                </w:tcPr>
                                <w:p w14:paraId="6CD89F29" w14:textId="77777777" w:rsidR="0068124A" w:rsidRPr="0068124A" w:rsidRDefault="0068124A" w:rsidP="0068124A">
                                  <w:pPr>
                                    <w:pStyle w:val="a7"/>
                                    <w:spacing w:line="160" w:lineRule="atLeast"/>
                                  </w:pPr>
                                </w:p>
                              </w:tc>
                            </w:tr>
                          </w:tbl>
                          <w:p w14:paraId="4D350E44" w14:textId="77777777" w:rsidR="007C22C6" w:rsidRDefault="007C22C6" w:rsidP="007C22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93657" id="_x0000_t202" coordsize="21600,21600" o:spt="202" path="m,l,21600r21600,l21600,xe">
                <v:stroke joinstyle="miter"/>
                <v:path gradientshapeok="t" o:connecttype="rect"/>
              </v:shapetype>
              <v:shape id="Text Box 2" o:spid="_x0000_s1026" type="#_x0000_t202" style="position:absolute;left:0;text-align:left;margin-left:76.05pt;margin-top:0;width:427.6pt;height:9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22"/>
                        <w:gridCol w:w="2423"/>
                        <w:gridCol w:w="1260"/>
                        <w:gridCol w:w="3060"/>
                      </w:tblGrid>
                      <w:tr w:rsidR="0068124A" w14:paraId="05BB6CA7" w14:textId="77777777" w:rsidTr="0068124A">
                        <w:trPr>
                          <w:trHeight w:hRule="exact" w:val="797"/>
                        </w:trPr>
                        <w:tc>
                          <w:tcPr>
                            <w:tcW w:w="1722" w:type="dxa"/>
                            <w:tcBorders>
                              <w:top w:val="single" w:sz="4" w:space="0" w:color="000000"/>
                              <w:left w:val="single" w:sz="4" w:space="0" w:color="000000"/>
                              <w:bottom w:val="single" w:sz="4" w:space="0" w:color="000000"/>
                              <w:right w:val="single" w:sz="4" w:space="0" w:color="000000"/>
                            </w:tcBorders>
                            <w:vAlign w:val="center"/>
                          </w:tcPr>
                          <w:p w14:paraId="6F020A75" w14:textId="77777777" w:rsidR="0068124A" w:rsidRPr="00F82A9B" w:rsidRDefault="0068124A" w:rsidP="007C22C6">
                            <w:pPr>
                              <w:tabs>
                                <w:tab w:val="left" w:pos="1380"/>
                              </w:tabs>
                              <w:spacing w:before="9"/>
                              <w:ind w:right="-20"/>
                              <w:jc w:val="center"/>
                              <w:rPr>
                                <w:rFonts w:ascii="ＭＳ 明朝" w:hAnsi="ＭＳ 明朝" w:cs="メイリオ"/>
                                <w:szCs w:val="21"/>
                              </w:rPr>
                            </w:pPr>
                            <w:r w:rsidRPr="00F82A9B">
                              <w:rPr>
                                <w:rFonts w:ascii="ＭＳ 明朝" w:hAnsi="ＭＳ 明朝" w:cs="メイリオ"/>
                                <w:szCs w:val="21"/>
                              </w:rPr>
                              <w:t>品</w:t>
                            </w:r>
                            <w:r w:rsidRPr="00F82A9B">
                              <w:rPr>
                                <w:rFonts w:ascii="ＭＳ 明朝" w:hAnsi="ＭＳ 明朝" w:cs="メイリオ" w:hint="eastAsia"/>
                                <w:szCs w:val="21"/>
                              </w:rPr>
                              <w:t xml:space="preserve">　</w:t>
                            </w:r>
                            <w:r w:rsidRPr="00F82A9B">
                              <w:rPr>
                                <w:rFonts w:ascii="ＭＳ 明朝" w:hAnsi="ＭＳ 明朝" w:cs="メイリオ"/>
                                <w:szCs w:val="21"/>
                              </w:rPr>
                              <w:t>目</w:t>
                            </w:r>
                          </w:p>
                        </w:tc>
                        <w:tc>
                          <w:tcPr>
                            <w:tcW w:w="2423" w:type="dxa"/>
                            <w:tcBorders>
                              <w:top w:val="single" w:sz="4" w:space="0" w:color="000000"/>
                              <w:left w:val="single" w:sz="4" w:space="0" w:color="000000"/>
                              <w:bottom w:val="single" w:sz="4" w:space="0" w:color="000000"/>
                              <w:right w:val="single" w:sz="4" w:space="0" w:color="000000"/>
                            </w:tcBorders>
                            <w:vAlign w:val="center"/>
                          </w:tcPr>
                          <w:p w14:paraId="3C580ACA" w14:textId="77777777" w:rsidR="0068124A" w:rsidRPr="00F82A9B" w:rsidRDefault="0068124A" w:rsidP="007C22C6">
                            <w:pPr>
                              <w:spacing w:before="9"/>
                              <w:ind w:right="-20"/>
                              <w:jc w:val="center"/>
                              <w:rPr>
                                <w:rFonts w:ascii="ＭＳ 明朝" w:hAnsi="ＭＳ 明朝" w:cs="メイリオ"/>
                                <w:szCs w:val="21"/>
                              </w:rPr>
                            </w:pPr>
                            <w:r w:rsidRPr="00F82A9B">
                              <w:rPr>
                                <w:rFonts w:ascii="ＭＳ 明朝" w:hAnsi="ＭＳ 明朝" w:cs="メイリオ"/>
                                <w:szCs w:val="21"/>
                              </w:rPr>
                              <w:t>規格・仕様</w:t>
                            </w:r>
                          </w:p>
                        </w:tc>
                        <w:tc>
                          <w:tcPr>
                            <w:tcW w:w="1260" w:type="dxa"/>
                            <w:tcBorders>
                              <w:top w:val="single" w:sz="4" w:space="0" w:color="000000"/>
                              <w:left w:val="single" w:sz="4" w:space="0" w:color="000000"/>
                              <w:bottom w:val="single" w:sz="4" w:space="0" w:color="000000"/>
                              <w:right w:val="single" w:sz="4" w:space="0" w:color="000000"/>
                            </w:tcBorders>
                            <w:vAlign w:val="center"/>
                          </w:tcPr>
                          <w:p w14:paraId="18A2AA99" w14:textId="77777777" w:rsidR="0068124A" w:rsidRPr="00F82A9B" w:rsidRDefault="0068124A" w:rsidP="0068124A">
                            <w:pPr>
                              <w:spacing w:before="9"/>
                              <w:ind w:right="-20"/>
                              <w:jc w:val="center"/>
                              <w:rPr>
                                <w:rFonts w:ascii="ＭＳ 明朝" w:hAnsi="ＭＳ 明朝" w:cs="メイリオ"/>
                                <w:szCs w:val="21"/>
                              </w:rPr>
                            </w:pPr>
                            <w:r w:rsidRPr="00F82A9B">
                              <w:rPr>
                                <w:rFonts w:ascii="ＭＳ 明朝" w:hAnsi="ＭＳ 明朝" w:cs="メイリオ"/>
                                <w:szCs w:val="21"/>
                              </w:rPr>
                              <w:t>数量</w:t>
                            </w:r>
                          </w:p>
                        </w:tc>
                        <w:tc>
                          <w:tcPr>
                            <w:tcW w:w="3060" w:type="dxa"/>
                            <w:tcBorders>
                              <w:top w:val="single" w:sz="4" w:space="0" w:color="000000"/>
                              <w:left w:val="single" w:sz="4" w:space="0" w:color="000000"/>
                              <w:bottom w:val="single" w:sz="4" w:space="0" w:color="000000"/>
                              <w:right w:val="single" w:sz="4" w:space="0" w:color="000000"/>
                            </w:tcBorders>
                            <w:vAlign w:val="center"/>
                          </w:tcPr>
                          <w:p w14:paraId="33776070" w14:textId="77777777" w:rsidR="0068124A" w:rsidRPr="00F82A9B" w:rsidRDefault="0068124A" w:rsidP="007C22C6">
                            <w:pPr>
                              <w:tabs>
                                <w:tab w:val="left" w:pos="1240"/>
                              </w:tabs>
                              <w:spacing w:before="9"/>
                              <w:ind w:right="-20"/>
                              <w:jc w:val="center"/>
                              <w:rPr>
                                <w:rFonts w:ascii="ＭＳ 明朝" w:hAnsi="ＭＳ 明朝" w:cs="メイリオ"/>
                                <w:szCs w:val="21"/>
                              </w:rPr>
                            </w:pPr>
                            <w:r w:rsidRPr="00F82A9B">
                              <w:rPr>
                                <w:rFonts w:ascii="ＭＳ 明朝" w:hAnsi="ＭＳ 明朝" w:cs="メイリオ"/>
                                <w:szCs w:val="21"/>
                              </w:rPr>
                              <w:t>摘</w:t>
                            </w:r>
                            <w:r w:rsidRPr="00F82A9B">
                              <w:rPr>
                                <w:rFonts w:ascii="ＭＳ 明朝" w:hAnsi="ＭＳ 明朝" w:cs="メイリオ" w:hint="eastAsia"/>
                                <w:szCs w:val="21"/>
                              </w:rPr>
                              <w:t xml:space="preserve">　　</w:t>
                            </w:r>
                            <w:r w:rsidRPr="00F82A9B">
                              <w:rPr>
                                <w:rFonts w:ascii="ＭＳ 明朝" w:hAnsi="ＭＳ 明朝" w:cs="メイリオ"/>
                                <w:szCs w:val="21"/>
                              </w:rPr>
                              <w:t>要</w:t>
                            </w:r>
                          </w:p>
                        </w:tc>
                      </w:tr>
                      <w:tr w:rsidR="0068124A" w14:paraId="4D5EE99D" w14:textId="77777777" w:rsidTr="0068124A">
                        <w:trPr>
                          <w:trHeight w:hRule="exact" w:val="983"/>
                        </w:trPr>
                        <w:tc>
                          <w:tcPr>
                            <w:tcW w:w="1722" w:type="dxa"/>
                            <w:tcBorders>
                              <w:top w:val="single" w:sz="4" w:space="0" w:color="000000"/>
                              <w:left w:val="single" w:sz="4" w:space="0" w:color="000000"/>
                              <w:bottom w:val="single" w:sz="4" w:space="0" w:color="000000"/>
                              <w:right w:val="single" w:sz="4" w:space="0" w:color="000000"/>
                            </w:tcBorders>
                          </w:tcPr>
                          <w:p w14:paraId="0243EC7B" w14:textId="77777777" w:rsidR="0068124A" w:rsidRPr="0068124A" w:rsidRDefault="0068124A" w:rsidP="0068124A">
                            <w:pPr>
                              <w:pStyle w:val="a7"/>
                              <w:spacing w:line="160" w:lineRule="atLeast"/>
                            </w:pPr>
                          </w:p>
                        </w:tc>
                        <w:tc>
                          <w:tcPr>
                            <w:tcW w:w="2423" w:type="dxa"/>
                            <w:tcBorders>
                              <w:top w:val="single" w:sz="4" w:space="0" w:color="000000"/>
                              <w:left w:val="single" w:sz="4" w:space="0" w:color="000000"/>
                              <w:bottom w:val="single" w:sz="4" w:space="0" w:color="000000"/>
                              <w:right w:val="single" w:sz="4" w:space="0" w:color="000000"/>
                            </w:tcBorders>
                          </w:tcPr>
                          <w:p w14:paraId="02D3EBCD" w14:textId="77777777" w:rsidR="0068124A" w:rsidRPr="0068124A" w:rsidRDefault="0068124A" w:rsidP="0068124A">
                            <w:pPr>
                              <w:pStyle w:val="a7"/>
                              <w:spacing w:line="160" w:lineRule="atLeast"/>
                            </w:pPr>
                          </w:p>
                        </w:tc>
                        <w:tc>
                          <w:tcPr>
                            <w:tcW w:w="1260" w:type="dxa"/>
                            <w:tcBorders>
                              <w:top w:val="single" w:sz="4" w:space="0" w:color="000000"/>
                              <w:left w:val="single" w:sz="4" w:space="0" w:color="000000"/>
                              <w:bottom w:val="single" w:sz="4" w:space="0" w:color="000000"/>
                              <w:right w:val="single" w:sz="4" w:space="0" w:color="000000"/>
                            </w:tcBorders>
                          </w:tcPr>
                          <w:p w14:paraId="1709C509" w14:textId="77777777" w:rsidR="0068124A" w:rsidRPr="0068124A" w:rsidRDefault="0068124A" w:rsidP="0068124A">
                            <w:pPr>
                              <w:pStyle w:val="a7"/>
                              <w:spacing w:line="160" w:lineRule="atLeast"/>
                            </w:pPr>
                          </w:p>
                        </w:tc>
                        <w:tc>
                          <w:tcPr>
                            <w:tcW w:w="3060" w:type="dxa"/>
                            <w:tcBorders>
                              <w:top w:val="single" w:sz="4" w:space="0" w:color="000000"/>
                              <w:left w:val="single" w:sz="4" w:space="0" w:color="000000"/>
                              <w:bottom w:val="single" w:sz="4" w:space="0" w:color="000000"/>
                              <w:right w:val="single" w:sz="4" w:space="0" w:color="000000"/>
                            </w:tcBorders>
                          </w:tcPr>
                          <w:p w14:paraId="6CD89F29" w14:textId="77777777" w:rsidR="0068124A" w:rsidRPr="0068124A" w:rsidRDefault="0068124A" w:rsidP="0068124A">
                            <w:pPr>
                              <w:pStyle w:val="a7"/>
                              <w:spacing w:line="160" w:lineRule="atLeast"/>
                            </w:pPr>
                          </w:p>
                        </w:tc>
                      </w:tr>
                    </w:tbl>
                    <w:p w14:paraId="4D350E44" w14:textId="77777777" w:rsidR="007C22C6" w:rsidRDefault="007C22C6" w:rsidP="007C22C6"/>
                  </w:txbxContent>
                </v:textbox>
                <w10:wrap anchorx="page"/>
              </v:shape>
            </w:pict>
          </mc:Fallback>
        </mc:AlternateContent>
      </w:r>
    </w:p>
    <w:sectPr w:rsidR="0068124A" w:rsidRPr="0068124A" w:rsidSect="007B5173">
      <w:pgSz w:w="11906" w:h="16838" w:code="9"/>
      <w:pgMar w:top="1701" w:right="1701" w:bottom="1701" w:left="170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A11EB" w14:textId="77777777" w:rsidR="008F2617" w:rsidRDefault="008F2617">
      <w:r>
        <w:separator/>
      </w:r>
    </w:p>
  </w:endnote>
  <w:endnote w:type="continuationSeparator" w:id="0">
    <w:p w14:paraId="24A1861C" w14:textId="77777777" w:rsidR="008F2617" w:rsidRDefault="008F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8BE51" w14:textId="77777777" w:rsidR="008F2617" w:rsidRDefault="008F2617">
      <w:r>
        <w:separator/>
      </w:r>
    </w:p>
  </w:footnote>
  <w:footnote w:type="continuationSeparator" w:id="0">
    <w:p w14:paraId="2142E895" w14:textId="77777777" w:rsidR="008F2617" w:rsidRDefault="008F2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73"/>
    <w:rsid w:val="000065F9"/>
    <w:rsid w:val="00023C40"/>
    <w:rsid w:val="00060009"/>
    <w:rsid w:val="000A59AB"/>
    <w:rsid w:val="000D318B"/>
    <w:rsid w:val="00126F77"/>
    <w:rsid w:val="00164D28"/>
    <w:rsid w:val="001E4419"/>
    <w:rsid w:val="001F3CB6"/>
    <w:rsid w:val="00216094"/>
    <w:rsid w:val="0021657F"/>
    <w:rsid w:val="0022367F"/>
    <w:rsid w:val="002501F8"/>
    <w:rsid w:val="00262A84"/>
    <w:rsid w:val="003325CC"/>
    <w:rsid w:val="003C3D45"/>
    <w:rsid w:val="003E1032"/>
    <w:rsid w:val="00445546"/>
    <w:rsid w:val="004610A7"/>
    <w:rsid w:val="00485D11"/>
    <w:rsid w:val="004D5816"/>
    <w:rsid w:val="004F2FD9"/>
    <w:rsid w:val="00566E69"/>
    <w:rsid w:val="005761CC"/>
    <w:rsid w:val="005810CF"/>
    <w:rsid w:val="005C0277"/>
    <w:rsid w:val="005F032D"/>
    <w:rsid w:val="00666A06"/>
    <w:rsid w:val="0068124A"/>
    <w:rsid w:val="00686E95"/>
    <w:rsid w:val="00693C03"/>
    <w:rsid w:val="0069720A"/>
    <w:rsid w:val="00717A75"/>
    <w:rsid w:val="00770A55"/>
    <w:rsid w:val="007B5173"/>
    <w:rsid w:val="007C22C6"/>
    <w:rsid w:val="00831123"/>
    <w:rsid w:val="00845C41"/>
    <w:rsid w:val="0089040E"/>
    <w:rsid w:val="008F2617"/>
    <w:rsid w:val="009369C1"/>
    <w:rsid w:val="00A70B71"/>
    <w:rsid w:val="00AD5496"/>
    <w:rsid w:val="00AE25AB"/>
    <w:rsid w:val="00B64083"/>
    <w:rsid w:val="00B8000D"/>
    <w:rsid w:val="00BA5850"/>
    <w:rsid w:val="00BA73DB"/>
    <w:rsid w:val="00C1302C"/>
    <w:rsid w:val="00C17F9C"/>
    <w:rsid w:val="00C2140E"/>
    <w:rsid w:val="00C9349F"/>
    <w:rsid w:val="00CD1A9D"/>
    <w:rsid w:val="00D02866"/>
    <w:rsid w:val="00D76E96"/>
    <w:rsid w:val="00DB1D3B"/>
    <w:rsid w:val="00DB425B"/>
    <w:rsid w:val="00E16F49"/>
    <w:rsid w:val="00EB7967"/>
    <w:rsid w:val="00EF00E8"/>
    <w:rsid w:val="00F4678F"/>
    <w:rsid w:val="00F63E66"/>
    <w:rsid w:val="00F80FAD"/>
    <w:rsid w:val="00F82A9B"/>
    <w:rsid w:val="00FE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7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68124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6F77"/>
    <w:pPr>
      <w:tabs>
        <w:tab w:val="center" w:pos="4252"/>
        <w:tab w:val="right" w:pos="8504"/>
      </w:tabs>
      <w:snapToGrid w:val="0"/>
    </w:pPr>
  </w:style>
  <w:style w:type="paragraph" w:styleId="a4">
    <w:name w:val="footer"/>
    <w:basedOn w:val="a"/>
    <w:rsid w:val="00126F77"/>
    <w:pPr>
      <w:tabs>
        <w:tab w:val="center" w:pos="4252"/>
        <w:tab w:val="right" w:pos="8504"/>
      </w:tabs>
      <w:snapToGrid w:val="0"/>
    </w:pPr>
  </w:style>
  <w:style w:type="character" w:styleId="a5">
    <w:name w:val="Hyperlink"/>
    <w:rsid w:val="004610A7"/>
    <w:rPr>
      <w:color w:val="0000FF"/>
      <w:u w:val="single"/>
    </w:rPr>
  </w:style>
  <w:style w:type="paragraph" w:styleId="a6">
    <w:name w:val="Balloon Text"/>
    <w:basedOn w:val="a"/>
    <w:semiHidden/>
    <w:rsid w:val="004F2FD9"/>
    <w:rPr>
      <w:rFonts w:ascii="Arial" w:eastAsia="ＭＳ ゴシック" w:hAnsi="Arial"/>
      <w:sz w:val="18"/>
      <w:szCs w:val="18"/>
    </w:rPr>
  </w:style>
  <w:style w:type="paragraph" w:styleId="a7">
    <w:name w:val="No Spacing"/>
    <w:uiPriority w:val="1"/>
    <w:qFormat/>
    <w:rsid w:val="0068124A"/>
    <w:pPr>
      <w:widowControl w:val="0"/>
      <w:jc w:val="both"/>
    </w:pPr>
    <w:rPr>
      <w:kern w:val="2"/>
      <w:sz w:val="21"/>
      <w:szCs w:val="24"/>
    </w:rPr>
  </w:style>
  <w:style w:type="character" w:customStyle="1" w:styleId="10">
    <w:name w:val="見出し 1 (文字)"/>
    <w:link w:val="1"/>
    <w:uiPriority w:val="9"/>
    <w:rsid w:val="0068124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D254-EAB1-43B8-9F55-262C8DA3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2019-03-06T05:15:00Z</dcterms:created>
  <dcterms:modified xsi:type="dcterms:W3CDTF">2022-08-18T04:30:00Z</dcterms:modified>
</cp:coreProperties>
</file>